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32"/>
          <w:szCs w:val="32"/>
        </w:rPr>
      </w:pPr>
      <w:r w:rsidDel="00000000" w:rsidR="00000000" w:rsidRPr="00000000">
        <w:rPr>
          <w:sz w:val="24"/>
          <w:szCs w:val="24"/>
        </w:rPr>
        <w:drawing>
          <wp:inline distB="114300" distT="114300" distL="114300" distR="114300">
            <wp:extent cx="1676848" cy="1189037"/>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76848" cy="118903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THIS AGREEMENT IS MADE BETWEEN:</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Client Name: ____________________________________________________ , </w:t>
      </w:r>
      <w:r w:rsidDel="00000000" w:rsidR="00000000" w:rsidRPr="00000000">
        <w:rPr>
          <w:rtl w:val="0"/>
        </w:rPr>
        <w:t xml:space="preserve">(the “Client”),</w:t>
      </w:r>
      <w:r w:rsidDel="00000000" w:rsidR="00000000" w:rsidRPr="00000000">
        <w:rPr>
          <w:rtl w:val="0"/>
        </w:rPr>
      </w:r>
    </w:p>
    <w:p w:rsidR="00000000" w:rsidDel="00000000" w:rsidP="00000000" w:rsidRDefault="00000000" w:rsidRPr="00000000" w14:paraId="00000005">
      <w:pPr>
        <w:spacing w:after="240" w:lineRule="auto"/>
        <w:rPr/>
      </w:pPr>
      <w:r w:rsidDel="00000000" w:rsidR="00000000" w:rsidRPr="00000000">
        <w:rPr>
          <w:b w:val="1"/>
          <w:rtl w:val="0"/>
        </w:rPr>
        <w:t xml:space="preserve">Counsellor Name: _______________________________________________ </w:t>
      </w:r>
      <w:r w:rsidDel="00000000" w:rsidR="00000000" w:rsidRPr="00000000">
        <w:rPr>
          <w:rtl w:val="0"/>
        </w:rPr>
        <w:t xml:space="preserve">, a therapist at Green Lane Counselling &amp; Psychotherapy (“the Counsellor”) and</w:t>
      </w:r>
    </w:p>
    <w:p w:rsidR="00000000" w:rsidDel="00000000" w:rsidP="00000000" w:rsidRDefault="00000000" w:rsidRPr="00000000" w14:paraId="00000006">
      <w:pPr>
        <w:spacing w:after="0" w:lineRule="auto"/>
        <w:rPr>
          <w:b w:val="1"/>
        </w:rPr>
      </w:pPr>
      <w:r w:rsidDel="00000000" w:rsidR="00000000" w:rsidRPr="00000000">
        <w:rPr>
          <w:b w:val="1"/>
          <w:rtl w:val="0"/>
        </w:rPr>
        <w:t xml:space="preserve">Lucy Harris</w:t>
      </w:r>
      <w:r w:rsidDel="00000000" w:rsidR="00000000" w:rsidRPr="00000000">
        <w:rPr>
          <w:rtl w:val="0"/>
        </w:rPr>
        <w:t xml:space="preserve">, owner of Green Lane Counselling &amp; Psychotherapy (“GLCP”).</w:t>
      </w:r>
      <w:r w:rsidDel="00000000" w:rsidR="00000000" w:rsidRPr="00000000">
        <w:rPr>
          <w:rtl w:val="0"/>
        </w:rPr>
      </w:r>
    </w:p>
    <w:p w:rsidR="00000000" w:rsidDel="00000000" w:rsidP="00000000" w:rsidRDefault="00000000" w:rsidRPr="00000000" w14:paraId="00000007">
      <w:pPr>
        <w:spacing w:after="0" w:lineRule="auto"/>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spacing w:after="0" w:lineRule="auto"/>
        <w:rPr>
          <w:b w:val="1"/>
        </w:rPr>
      </w:pPr>
      <w:r w:rsidDel="00000000" w:rsidR="00000000" w:rsidRPr="00000000">
        <w:rPr>
          <w:b w:val="1"/>
          <w:rtl w:val="0"/>
        </w:rPr>
        <w:t xml:space="preserve">It is agreed as follows:</w:t>
      </w:r>
    </w:p>
    <w:p w:rsidR="00000000" w:rsidDel="00000000" w:rsidP="00000000" w:rsidRDefault="00000000" w:rsidRPr="00000000" w14:paraId="00000009">
      <w:pPr>
        <w:spacing w:after="0" w:lineRule="auto"/>
        <w:rPr>
          <w:b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Anything the Client says during counselling sessions is confidential except in the following circumstances: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Counsellor believes that there is a serious and real risk of harm to either the Client or others, the Counsellor reserves the right to break confidentiality.</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courts require the Counsellor or </w:t>
      </w:r>
      <w:r w:rsidDel="00000000" w:rsidR="00000000" w:rsidRPr="00000000">
        <w:rPr>
          <w:rtl w:val="0"/>
        </w:rPr>
        <w:t xml:space="preserve">placement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provide such information by law.</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Rule="auto"/>
        <w:ind w:left="720" w:firstLine="0"/>
        <w:rPr/>
      </w:pPr>
      <w:r w:rsidDel="00000000" w:rsidR="00000000" w:rsidRPr="00000000">
        <w:rPr>
          <w:rtl w:val="0"/>
        </w:rPr>
        <w:t xml:space="preserve">Sessions may be discussed with the Counsellor’s clinical supervisor; this is standard procedure and is a way of checking adherence to ethical and professional standards.  There may also be circumstances where the Counsellor discusses sessions with placement  for the purposes of risk management.</w:t>
      </w:r>
    </w:p>
    <w:p w:rsidR="00000000" w:rsidDel="00000000" w:rsidP="00000000" w:rsidRDefault="00000000" w:rsidRPr="00000000" w14:paraId="00000010">
      <w:pPr>
        <w:spacing w:after="0" w:lineRule="auto"/>
        <w:ind w:left="720" w:firstLine="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Counsellor will listen to the Client in a private and confidential setting.  The Counsellor will offer the Client their full attention, respect and a commitment to supporting the Client to explore their thoughts and feelings in safety.  The Counsellor will abide by the BACP Code of Ethics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www.bacp.co.uk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sessions are conducted by phone or online, the Counsellor and Client will ensure that the session shall be conducted in private so that it cannot be overheard or overseen, in order for confidentiality to be maintained.  The online platform used shall be agreed between Counsellor and Client.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session is 50 minutes.  The Client will inform the Counsellor if they are unable to attend any session.  At least 24 hours’ notice is needed, otherwise the full session fee will be payable unless there are extenuating circumstances. If the Client misses two sessions consecutively without giving 24 hours’ notice, the sessions will no longer be available, unless there are extenuating circumstances.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Client agrees to pay a fee of £_____per session, payable in advance to the Counsellor.  The number of sessions agreed is 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is subject to English Law with the exclusive jurisdiction of the courts of England and Wales.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0" w:line="240" w:lineRule="auto"/>
        <w:jc w:val="center"/>
        <w:rPr>
          <w:sz w:val="24"/>
          <w:szCs w:val="24"/>
        </w:rPr>
      </w:pPr>
      <w:r w:rsidDel="00000000" w:rsidR="00000000" w:rsidRPr="00000000">
        <w:rPr>
          <w:sz w:val="24"/>
          <w:szCs w:val="24"/>
        </w:rPr>
        <w:drawing>
          <wp:inline distB="114300" distT="114300" distL="114300" distR="114300">
            <wp:extent cx="1676848" cy="1189037"/>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76848" cy="1189037"/>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Client agrees that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Policy for Data Protection and Record Keeping (Attachment One to this Agreement) shall apply to the Client’s personal details and counselling sessions, and:</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gives active consent that records of the Client’s personal details and counselling sessions are held by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confirms that they are aware of why such records are held and how they will be used; and</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acknowledges that they have the right to request in writing access to clinical notes and receive a copy if desired, and a “right to be forgotten” where appropriate.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confirm that this document sets out an agreed way of working.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Client’s Signature</w:t>
        <w:tab/>
        <w:tab/>
        <w:t xml:space="preserve">________________________________ Date</w:t>
        <w:tab/>
        <w:t xml:space="preserve">__________________</w:t>
      </w:r>
    </w:p>
    <w:p w:rsidR="00000000" w:rsidDel="00000000" w:rsidP="00000000" w:rsidRDefault="00000000" w:rsidRPr="00000000" w14:paraId="00000025">
      <w:pPr>
        <w:rPr/>
      </w:pPr>
      <w:r w:rsidDel="00000000" w:rsidR="00000000" w:rsidRPr="00000000">
        <w:rPr>
          <w:rtl w:val="0"/>
        </w:rPr>
        <w:t xml:space="preserve">Counsellor’s Signature</w:t>
        <w:tab/>
        <w:tab/>
        <w:t xml:space="preserve">_______________________________   Date</w:t>
        <w:tab/>
        <w:t xml:space="preserve">_________________</w:t>
      </w:r>
    </w:p>
    <w:p w:rsidR="00000000" w:rsidDel="00000000" w:rsidP="00000000" w:rsidRDefault="00000000" w:rsidRPr="00000000" w14:paraId="00000026">
      <w:pPr>
        <w:rPr/>
      </w:pPr>
      <w:r w:rsidDel="00000000" w:rsidR="00000000" w:rsidRPr="00000000">
        <w:rPr>
          <w:rtl w:val="0"/>
        </w:rPr>
        <w:t xml:space="preserve">Placement manager Signature   ____</w:t>
      </w:r>
      <w:r w:rsidDel="00000000" w:rsidR="00000000" w:rsidRPr="00000000">
        <w:rPr/>
        <w:drawing>
          <wp:inline distB="114300" distT="114300" distL="114300" distR="114300">
            <wp:extent cx="1085850" cy="276225"/>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85850" cy="276225"/>
                    </a:xfrm>
                    <a:prstGeom prst="rect"/>
                    <a:ln/>
                  </pic:spPr>
                </pic:pic>
              </a:graphicData>
            </a:graphic>
          </wp:inline>
        </w:drawing>
      </w:r>
      <w:r w:rsidDel="00000000" w:rsidR="00000000" w:rsidRPr="00000000">
        <w:rPr>
          <w:rtl w:val="0"/>
        </w:rPr>
        <w:t xml:space="preserve">_________       Date</w:t>
        <w:tab/>
        <w:t xml:space="preserve">__________________</w:t>
      </w:r>
    </w:p>
    <w:p w:rsidR="00000000" w:rsidDel="00000000" w:rsidP="00000000" w:rsidRDefault="00000000" w:rsidRPr="00000000" w14:paraId="00000027">
      <w:pPr>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after="0" w:line="240" w:lineRule="auto"/>
        <w:jc w:val="center"/>
        <w:rPr>
          <w:sz w:val="24"/>
          <w:szCs w:val="24"/>
        </w:rPr>
      </w:pPr>
      <w:r w:rsidDel="00000000" w:rsidR="00000000" w:rsidRPr="00000000">
        <w:rPr>
          <w:sz w:val="24"/>
          <w:szCs w:val="24"/>
        </w:rPr>
        <w:drawing>
          <wp:inline distB="114300" distT="114300" distL="114300" distR="114300">
            <wp:extent cx="1676848" cy="1189037"/>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76848" cy="1189037"/>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Attachment One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b w:val="1"/>
          <w:u w:val="single"/>
          <w:rtl w:val="0"/>
        </w:rPr>
        <w:t xml:space="preserve">Placement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Policy for Data Protection and Record-Keeping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tab/>
        <w:t xml:space="preserve">In order to adhere to the General Data Protection Regulation (GDPR) and BACP guidance,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hold all information on the Client confidentially.  It is only accessible to the Counsellor or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the purpose of running the service.  It is only in cases of serious risk of harm that there may be a requirement for information to be passed on without the explicit consent of the client, or where the courts require the Counsellor or </w:t>
      </w:r>
      <w:r w:rsidDel="00000000" w:rsidR="00000000" w:rsidRPr="00000000">
        <w:rPr>
          <w:rtl w:val="0"/>
        </w:rPr>
        <w:t xml:space="preserve">placement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provide information by law.  The GDPR requires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inform the Client of the data it holds on them, and whether and how it is accessible to them.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tab/>
        <w:t xml:space="preserve">The Client is asked to provide name and contact details during the initial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assessment session on a written form.  These are kept in a locked cabinet, separate from the Counsellor’s notes of the sessions with the Client under 3 below.  The Counsellor or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only use these contact details to contact the Client in order to arrange, cancel or confirm appointments with the Client.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tab/>
        <w:t xml:space="preserve">Notes are kept on the content of each Client/Counsellor session.  These are confidential within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are entered by the Counsellor onto the standard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“client notes” form after each session.  They are used to help the Counsellor remember what has been said and for the Counsellor’s professional supervision sessions.  The notes are kept in a locked filing cabinet and are only identifiable by the client’s unique reference number which is held by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Notes will only be accessed by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the Counsellor if there is a clinical or administrative need to do so.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tab/>
        <w:t xml:space="preserve">The Client notes are the property of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but upon one week’s written notice, the Client has the right to access all notes kept on them and to receive a copy of such notes.  At the Client’s request, the Counsellor will be available to assist the Client’s review of the notes, for example if some things have been written in shorthand.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tab/>
        <w:t xml:space="preserve">Client contact details and notes will be kept for five years after the completion of sessions.  They will then be shredded.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tab/>
        <w:t xml:space="preserve">Under Article 17 of the GDPR, the Client has a “right to be forgotten” which entitles the Client to request that under certain conditions,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erase his/her personal data and cease further dissemination of such data.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tab/>
        <w:t xml:space="preserve">In the unlikely event of a data breach where the Client’s personal information has been lost or stolen, the </w:t>
      </w:r>
      <w:r w:rsidDel="00000000" w:rsidR="00000000" w:rsidRPr="00000000">
        <w:rPr>
          <w:rtl w:val="0"/>
        </w:rPr>
        <w:t xml:space="preserve">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inform the Information Commissioner’s Office and the Client within 72 hours of becoming aware of such breach.</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tab/>
        <w:t xml:space="preserve">Further information on GDPR, can be found at: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https://ico.org.uk</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567" w:top="680" w:left="851" w:right="8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7"/>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org.uk"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bacp.co.uk"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